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EDF" w:rsidRPr="00AC3EDF" w:rsidRDefault="00AC3EDF" w:rsidP="00AC3EDF">
      <w:pPr>
        <w:spacing w:after="75" w:line="360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</w:pPr>
      <w:r w:rsidRPr="00AC3EDF"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  <w:t>БЕЗОПАСНОСТЬ ДЕТЕЙ В ИНТЕРНЕТЕ</w:t>
      </w:r>
    </w:p>
    <w:p w:rsidR="00AC3EDF" w:rsidRPr="00AC3EDF" w:rsidRDefault="00D64A79" w:rsidP="00AC3EDF">
      <w:pPr>
        <w:shd w:val="clear" w:color="auto" w:fill="C5E0D1"/>
        <w:spacing w:after="0" w:line="315" w:lineRule="atLeast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64A79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pict>
          <v:rect id="_x0000_i1025" style="width:0;height:1.5pt" o:hralign="center" o:hrstd="t" o:hr="t" fillcolor="#a7a6aa" stroked="f"/>
        </w:pict>
      </w:r>
    </w:p>
    <w:p w:rsidR="00AC3EDF" w:rsidRPr="00AC3EDF" w:rsidRDefault="00AC3EDF" w:rsidP="00AC3EDF">
      <w:pPr>
        <w:shd w:val="clear" w:color="auto" w:fill="C5E0D1"/>
        <w:spacing w:after="75" w:line="36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</w:pPr>
      <w:r w:rsidRPr="00AC3EDF"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  <w:t> </w:t>
      </w:r>
    </w:p>
    <w:p w:rsidR="00AC3EDF" w:rsidRPr="00AC3EDF" w:rsidRDefault="00AC3EDF" w:rsidP="00AC3EDF">
      <w:pPr>
        <w:shd w:val="clear" w:color="auto" w:fill="C5E0D1"/>
        <w:spacing w:after="75" w:line="36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</w:pPr>
      <w:r w:rsidRPr="00AC3EDF"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  <w:t>Каким опасностям могут подвергаться дети в сети?</w:t>
      </w:r>
    </w:p>
    <w:p w:rsidR="00AC3EDF" w:rsidRPr="00AC3EDF" w:rsidRDefault="00AC3EDF" w:rsidP="00AC3EDF">
      <w:pPr>
        <w:shd w:val="clear" w:color="auto" w:fill="C5E0D1"/>
        <w:spacing w:after="0" w:afterAutospacing="1" w:line="315" w:lineRule="atLeast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>
        <w:rPr>
          <w:rFonts w:ascii="inherit" w:eastAsia="Times New Roman" w:hAnsi="inherit" w:cs="Tahoma"/>
          <w:noProof/>
          <w:color w:val="359BE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2066925" cy="1457325"/>
            <wp:effectExtent l="19050" t="0" r="9525" b="0"/>
            <wp:docPr id="2" name="Рисунок 2" descr="Защита детей в интернете">
              <a:hlinkClick xmlns:a="http://schemas.openxmlformats.org/drawingml/2006/main" r:id="rId5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щита детей в интернете">
                      <a:hlinkClick r:id="rId5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 xml:space="preserve">1. Сайты для взрослых. Это ресурсы, которые связаны с вопросами интимных отношений и сексом. Наибольшую опасность представляют </w:t>
      </w:r>
      <w:proofErr w:type="spellStart"/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порносайты</w:t>
      </w:r>
      <w:proofErr w:type="spellEnd"/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 xml:space="preserve"> и те, которые пропагандируют нездоровый секс, когда интимные отношения представлены в брутальной форме.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2. Запрещенная и нежелательная информация. Сюда относятся материалы о наркотиках, жестокости, расовой дискриминации, финансовых аферах и т. д. Иногда сложно определить такие сайты с первого взгляда, в этом и состоит их опасность.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 xml:space="preserve">3. </w:t>
      </w:r>
      <w:proofErr w:type="spellStart"/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Онлайн</w:t>
      </w:r>
      <w:proofErr w:type="spellEnd"/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 xml:space="preserve"> игры. Их опасность состоит в том, что очень часто дети глубоко погружаются в виртуальный мир, вытащить из которого их непросто. Такие ситуации вредят психике ребенка, как и игры с сексуальным подтекстом, жестоким сюжетом.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4. Интернет-казино. Эти и подобные ресурсы развивают зависимость к азартным играм, трате больших сумм денег, тягу к воровству.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 xml:space="preserve">5. Социальные сети, ресурсы для общения, интернет-ресурсы знакомств. Они опасны тем, что ребенок может познакомиться с человеком, у которого криминальное прошлое, либо который имеет ярко выраженные криминальные намерения. Также в социальных сетях можно «напороться» на аферистов и извращенцев. Есть еще одна сторона медали. Ребенок может увлечься миром </w:t>
      </w:r>
      <w:proofErr w:type="spellStart"/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онлайн</w:t>
      </w:r>
      <w:proofErr w:type="spellEnd"/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 xml:space="preserve"> общения, заменяя им занятия спортом, прогулки на свежем воздухе, встречи с друзьями и даже учебу.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6. Мошенничество. Аферисты очень часто привлекают детей к тому, чтобы выманить деньги. Ведь малыши становятся в их руках слепым орудием.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7. Фильмы ужасов. Всем известно, что детская психика неустойчива, поэтому просматривая страшные фильмы, ребенок может получить психологическую травму.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sz w:val="21"/>
          <w:szCs w:val="21"/>
          <w:lang w:eastAsia="ru-RU"/>
        </w:rPr>
        <w:t>8. Секты. Заманить малыша в них могут как на улице, так и в сети. На первом этапе обычно ребенка приглашают посетить какой-то Интернет-ресурс, с информацией «поучающего характера». А это могут быть заповеди, техники, медитации, заклинания и другое. На втором – его приглашают лично побывать в секте, пройдя по определенному адресу.</w:t>
      </w:r>
    </w:p>
    <w:p w:rsidR="00AC3EDF" w:rsidRDefault="00AC3EDF" w:rsidP="00AC3EDF">
      <w:pPr>
        <w:shd w:val="clear" w:color="auto" w:fill="C5E0D1"/>
        <w:spacing w:after="0" w:line="315" w:lineRule="atLeast"/>
        <w:textAlignment w:val="baseline"/>
        <w:rPr>
          <w:rFonts w:ascii="Tahoma" w:eastAsia="Times New Roman" w:hAnsi="Tahoma" w:cs="Tahoma"/>
          <w:sz w:val="21"/>
          <w:szCs w:val="21"/>
          <w:lang w:eastAsia="ru-RU"/>
        </w:rPr>
        <w:sectPr w:rsidR="00AC3EDF" w:rsidSect="008D49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C3EDF" w:rsidRPr="00AC3EDF" w:rsidRDefault="00AC3EDF" w:rsidP="00AC3EDF">
      <w:pPr>
        <w:shd w:val="clear" w:color="auto" w:fill="C5E0D1"/>
        <w:spacing w:after="0" w:line="315" w:lineRule="atLeast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</w:p>
    <w:p w:rsidR="00AC3EDF" w:rsidRPr="00AC3EDF" w:rsidRDefault="00AC3EDF" w:rsidP="00AC3EDF">
      <w:pPr>
        <w:shd w:val="clear" w:color="auto" w:fill="C5E0D1"/>
        <w:spacing w:after="75" w:line="36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</w:pPr>
      <w:r w:rsidRPr="00AC3EDF"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  <w:t> Памятка родителям!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jc w:val="center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>
        <w:rPr>
          <w:rFonts w:ascii="inherit" w:eastAsia="Times New Roman" w:hAnsi="inherit" w:cs="Tahoma"/>
          <w:noProof/>
          <w:color w:val="359BED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8432012" cy="5676855"/>
            <wp:effectExtent l="19050" t="0" r="7138" b="0"/>
            <wp:docPr id="4" name="Рисунок 4" descr="Защита детей в интернете">
              <a:hlinkClick xmlns:a="http://schemas.openxmlformats.org/drawingml/2006/main" r:id="rId7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щита детей в интернете">
                      <a:hlinkClick r:id="rId7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012" cy="567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EDF" w:rsidRPr="00AC3EDF" w:rsidRDefault="00D64A79" w:rsidP="00AC3EDF">
      <w:pPr>
        <w:shd w:val="clear" w:color="auto" w:fill="C5E0D1"/>
        <w:spacing w:after="0" w:line="315" w:lineRule="atLeast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64A79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pict>
          <v:rect id="_x0000_i1026" style="width:0;height:1.5pt" o:hralign="center" o:hrstd="t" o:hr="t" fillcolor="#a7a6aa" stroked="f"/>
        </w:pict>
      </w:r>
    </w:p>
    <w:p w:rsid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sectPr w:rsidR="00AC3EDF" w:rsidSect="00AC3EDF"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</w:p>
    <w:p w:rsidR="00AC3EDF" w:rsidRPr="00AC3EDF" w:rsidRDefault="00AC3EDF" w:rsidP="00AC3EDF">
      <w:pPr>
        <w:shd w:val="clear" w:color="auto" w:fill="C5E0D1"/>
        <w:spacing w:after="0" w:line="360" w:lineRule="atLeast"/>
        <w:jc w:val="center"/>
        <w:textAlignment w:val="baseline"/>
        <w:outlineLvl w:val="0"/>
        <w:rPr>
          <w:rFonts w:ascii="Tahoma" w:eastAsia="Times New Roman" w:hAnsi="Tahoma" w:cs="Tahoma"/>
          <w:b/>
          <w:bCs/>
          <w:color w:val="666666"/>
          <w:spacing w:val="18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ahoma"/>
          <w:b/>
          <w:bCs/>
          <w:noProof/>
          <w:color w:val="359BED"/>
          <w:spacing w:val="18"/>
          <w:kern w:val="36"/>
          <w:sz w:val="36"/>
          <w:szCs w:val="36"/>
          <w:bdr w:val="none" w:sz="0" w:space="0" w:color="auto" w:frame="1"/>
          <w:lang w:eastAsia="ru-RU"/>
        </w:rPr>
        <w:drawing>
          <wp:inline distT="0" distB="0" distL="0" distR="0">
            <wp:extent cx="2857500" cy="2466975"/>
            <wp:effectExtent l="0" t="0" r="0" b="0"/>
            <wp:docPr id="6" name="Рисунок 6" descr="Защита детей в интернете">
              <a:hlinkClick xmlns:a="http://schemas.openxmlformats.org/drawingml/2006/main" r:id="rId9" tgtFrame="&quot;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щита детей в интернете">
                      <a:hlinkClick r:id="rId9" tgtFrame="&quot;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EDF">
        <w:rPr>
          <w:rFonts w:ascii="inherit" w:eastAsia="Times New Roman" w:hAnsi="inherit" w:cs="Tahoma"/>
          <w:b/>
          <w:bCs/>
          <w:color w:val="666666"/>
          <w:spacing w:val="18"/>
          <w:kern w:val="36"/>
          <w:sz w:val="36"/>
          <w:lang w:eastAsia="ru-RU"/>
        </w:rPr>
        <w:t>Нормативные документы.</w:t>
      </w:r>
    </w:p>
    <w:p w:rsidR="00AC3EDF" w:rsidRPr="00AC3EDF" w:rsidRDefault="00AC3EDF" w:rsidP="00AC3EDF">
      <w:pPr>
        <w:numPr>
          <w:ilvl w:val="0"/>
          <w:numId w:val="1"/>
        </w:numPr>
        <w:shd w:val="clear" w:color="auto" w:fill="C5E0D1"/>
        <w:spacing w:after="0" w:line="273" w:lineRule="atLeast"/>
        <w:ind w:left="240" w:hanging="240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Федеральный  закон Российской Федерации</w:t>
      </w:r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hyperlink r:id="rId11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от 28 июля 2012 г. N 139-ФЗ</w:t>
        </w:r>
      </w:hyperlink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"О</w:t>
      </w: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  <w:t>внесении  изменений в Федеральный закон "О защите детей от информации,</w:t>
      </w: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  <w:t>причиняющей  вред  их здоровью и развитию" и отдельные законодательные</w:t>
      </w: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  <w:t>акты Российской Федерации"</w:t>
      </w:r>
    </w:p>
    <w:p w:rsidR="00AC3EDF" w:rsidRPr="00AC3EDF" w:rsidRDefault="00AC3EDF" w:rsidP="00AC3EDF">
      <w:pPr>
        <w:numPr>
          <w:ilvl w:val="0"/>
          <w:numId w:val="1"/>
        </w:numPr>
        <w:shd w:val="clear" w:color="auto" w:fill="C5E0D1"/>
        <w:spacing w:after="0" w:line="273" w:lineRule="atLeast"/>
        <w:ind w:left="240" w:hanging="240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Письмо МИНОБРНАУКИ РОССИИ</w:t>
      </w:r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hyperlink r:id="rId12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от 28.04.2014 № ДЛ-115/03</w:t>
        </w:r>
      </w:hyperlink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"О направлении методических материалов для обеспечения информационной безопасности детей при использовании ресурсов сети Интернет"</w:t>
      </w:r>
    </w:p>
    <w:p w:rsidR="00AC3EDF" w:rsidRPr="00AC3EDF" w:rsidRDefault="00AC3EDF" w:rsidP="00AC3EDF">
      <w:pPr>
        <w:numPr>
          <w:ilvl w:val="0"/>
          <w:numId w:val="2"/>
        </w:numPr>
        <w:shd w:val="clear" w:color="auto" w:fill="C5E0D1"/>
        <w:spacing w:after="0" w:line="273" w:lineRule="atLeast"/>
        <w:ind w:left="240" w:hanging="240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Федеральный закон от 29 декабря 2010 года г. № 436-ФЗ (в ред. Федеральных законов от 28.07.2012 N 139-ФЗ, от 05.04.2013 N 50-ФЗ, от 29.06.2013 N 135-ФЗ</w:t>
      </w:r>
      <w:proofErr w:type="gramStart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,о</w:t>
      </w:r>
      <w:proofErr w:type="gramEnd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т 02.07.2013 N 185-ФЗ,</w:t>
      </w:r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hyperlink r:id="rId13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от 14.10.2014)</w:t>
        </w:r>
      </w:hyperlink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</w:r>
      <w:hyperlink r:id="rId14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"О защите детей от информации, причиняющей вред их здоровью и развитию"</w:t>
        </w:r>
      </w:hyperlink>
    </w:p>
    <w:p w:rsidR="00AC3EDF" w:rsidRPr="00AC3EDF" w:rsidRDefault="00AC3EDF" w:rsidP="00AC3EDF">
      <w:pPr>
        <w:numPr>
          <w:ilvl w:val="0"/>
          <w:numId w:val="3"/>
        </w:numPr>
        <w:shd w:val="clear" w:color="auto" w:fill="C5E0D1"/>
        <w:spacing w:after="0" w:line="273" w:lineRule="atLeast"/>
        <w:ind w:left="240" w:hanging="240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Письмо </w:t>
      </w:r>
      <w:proofErr w:type="spellStart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Минкомсвязи</w:t>
      </w:r>
      <w:proofErr w:type="spellEnd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 России</w:t>
      </w:r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hyperlink r:id="rId15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от 14.08.2012 № 52-165/ВА</w:t>
        </w:r>
      </w:hyperlink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  <w:t>"О применении норм Федерального закона от 29 декабря 2010 г. № 436-ФЗ "О защите детей от информации, причиняющей вред их здоровью и развитию"</w:t>
      </w:r>
    </w:p>
    <w:p w:rsidR="00AC3EDF" w:rsidRPr="00AC3EDF" w:rsidRDefault="00AC3EDF" w:rsidP="00AC3EDF">
      <w:pPr>
        <w:numPr>
          <w:ilvl w:val="0"/>
          <w:numId w:val="3"/>
        </w:numPr>
        <w:shd w:val="clear" w:color="auto" w:fill="C5E0D1"/>
        <w:spacing w:after="0" w:line="273" w:lineRule="atLeast"/>
        <w:ind w:left="240" w:hanging="240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Письмо </w:t>
      </w:r>
      <w:proofErr w:type="spellStart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Минобрнауки</w:t>
      </w:r>
      <w:proofErr w:type="spellEnd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 России</w:t>
      </w:r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hyperlink r:id="rId16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от 28.04.2014 № ДЛ-115/03</w:t>
        </w:r>
      </w:hyperlink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  <w:t>"О направлении методических материалов для обеспечения информационной безопасности детей при использовании ресурсов сети Интернет"</w:t>
      </w:r>
    </w:p>
    <w:p w:rsidR="00AC3EDF" w:rsidRPr="00AC3EDF" w:rsidRDefault="00AC3EDF" w:rsidP="00AC3EDF">
      <w:pPr>
        <w:numPr>
          <w:ilvl w:val="0"/>
          <w:numId w:val="3"/>
        </w:numPr>
        <w:shd w:val="clear" w:color="auto" w:fill="C5E0D1"/>
        <w:spacing w:after="0" w:line="273" w:lineRule="atLeast"/>
        <w:ind w:left="240" w:hanging="240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Приказ </w:t>
      </w:r>
      <w:proofErr w:type="spellStart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Минкомсвязи</w:t>
      </w:r>
      <w:proofErr w:type="spellEnd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 России</w:t>
      </w:r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hyperlink r:id="rId17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от 16.06.2014 № 161</w:t>
        </w:r>
      </w:hyperlink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  <w:t>"Об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развитию" (Зарегистрировано в Минюсте России 12.08.2014 №33555)</w:t>
      </w:r>
    </w:p>
    <w:p w:rsidR="00AC3EDF" w:rsidRPr="00AC3EDF" w:rsidRDefault="00AC3EDF" w:rsidP="00AC3EDF">
      <w:pPr>
        <w:numPr>
          <w:ilvl w:val="0"/>
          <w:numId w:val="3"/>
        </w:numPr>
        <w:shd w:val="clear" w:color="auto" w:fill="C5E0D1"/>
        <w:spacing w:after="0" w:line="273" w:lineRule="atLeast"/>
        <w:ind w:left="240" w:hanging="240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Рекомендации по применению Федерального закона</w:t>
      </w:r>
      <w:r w:rsidRPr="00AC3EDF">
        <w:rPr>
          <w:rFonts w:ascii="inherit" w:eastAsia="Times New Roman" w:hAnsi="inherit" w:cs="Tahoma"/>
          <w:color w:val="535353"/>
          <w:sz w:val="21"/>
          <w:lang w:eastAsia="ru-RU"/>
        </w:rPr>
        <w:t> </w:t>
      </w:r>
      <w:hyperlink r:id="rId18" w:tgtFrame="_blank" w:history="1">
        <w:r w:rsidRPr="00AC3EDF">
          <w:rPr>
            <w:rFonts w:ascii="inherit" w:eastAsia="Times New Roman" w:hAnsi="inherit" w:cs="Tahoma"/>
            <w:color w:val="359BED"/>
            <w:sz w:val="21"/>
            <w:lang w:eastAsia="ru-RU"/>
          </w:rPr>
          <w:t>от 29 декабря 2010г. № 436-ФЗ</w:t>
        </w:r>
      </w:hyperlink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br/>
        <w:t xml:space="preserve">"О защите детей от информации, причиняющей вред их здоровью и развитию" в отношении печатной (книжной) продукции" (утв. </w:t>
      </w:r>
      <w:proofErr w:type="spellStart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Минкомсвязи</w:t>
      </w:r>
      <w:proofErr w:type="spellEnd"/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 xml:space="preserve"> России 22.01.2013 № АВ-П17-531)</w:t>
      </w:r>
    </w:p>
    <w:p w:rsidR="00AC3EDF" w:rsidRP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ascii="inherit" w:eastAsia="Times New Roman" w:hAnsi="inherit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 </w:t>
      </w:r>
    </w:p>
    <w:p w:rsidR="00AC3EDF" w:rsidRPr="00AC3EDF" w:rsidRDefault="00D64A79" w:rsidP="00AC3EDF">
      <w:pPr>
        <w:shd w:val="clear" w:color="auto" w:fill="C5E0D1"/>
        <w:spacing w:after="0" w:line="315" w:lineRule="atLeast"/>
        <w:textAlignment w:val="baseline"/>
        <w:rPr>
          <w:rFonts w:ascii="Tahoma" w:eastAsia="Times New Roman" w:hAnsi="Tahoma" w:cs="Tahoma"/>
          <w:color w:val="535353"/>
          <w:sz w:val="21"/>
          <w:szCs w:val="21"/>
          <w:lang w:eastAsia="ru-RU"/>
        </w:rPr>
      </w:pPr>
      <w:r w:rsidRPr="00D64A79">
        <w:rPr>
          <w:rFonts w:ascii="Tahoma" w:eastAsia="Times New Roman" w:hAnsi="Tahoma" w:cs="Tahoma"/>
          <w:color w:val="535353"/>
          <w:sz w:val="21"/>
          <w:szCs w:val="21"/>
          <w:lang w:eastAsia="ru-RU"/>
        </w:rPr>
        <w:pict>
          <v:rect id="_x0000_i1027" style="width:0;height:1.5pt" o:hralign="center" o:hrstd="t" o:hr="t" fillcolor="#a7a6aa" stroked="f"/>
        </w:pict>
      </w:r>
    </w:p>
    <w:p w:rsidR="00AC3EDF" w:rsidRDefault="00AC3EDF" w:rsidP="00AC3EDF">
      <w:pPr>
        <w:shd w:val="clear" w:color="auto" w:fill="C5E0D1"/>
        <w:spacing w:after="100" w:afterAutospacing="1" w:line="315" w:lineRule="atLeast"/>
        <w:textAlignment w:val="baseline"/>
        <w:rPr>
          <w:rFonts w:eastAsia="Times New Roman" w:cs="Tahoma"/>
          <w:color w:val="535353"/>
          <w:sz w:val="21"/>
          <w:szCs w:val="21"/>
          <w:lang w:eastAsia="ru-RU"/>
        </w:rPr>
      </w:pPr>
      <w:r w:rsidRPr="00AC3EDF">
        <w:rPr>
          <w:rFonts w:ascii="inherit" w:eastAsia="Times New Roman" w:hAnsi="inherit" w:cs="Tahoma"/>
          <w:color w:val="535353"/>
          <w:sz w:val="21"/>
          <w:szCs w:val="21"/>
          <w:lang w:eastAsia="ru-RU"/>
        </w:rPr>
        <w:t> </w:t>
      </w:r>
    </w:p>
    <w:p w:rsidR="009B352A" w:rsidRDefault="009B352A" w:rsidP="00AC3EDF">
      <w:pPr>
        <w:shd w:val="clear" w:color="auto" w:fill="C5E0D1"/>
        <w:spacing w:after="100" w:afterAutospacing="1" w:line="315" w:lineRule="atLeast"/>
        <w:textAlignment w:val="baseline"/>
        <w:rPr>
          <w:rFonts w:eastAsia="Times New Roman" w:cs="Tahoma"/>
          <w:color w:val="535353"/>
          <w:sz w:val="21"/>
          <w:szCs w:val="21"/>
          <w:lang w:eastAsia="ru-RU"/>
        </w:rPr>
      </w:pPr>
    </w:p>
    <w:p w:rsidR="009B352A" w:rsidRDefault="009B352A" w:rsidP="00AC3EDF">
      <w:pPr>
        <w:shd w:val="clear" w:color="auto" w:fill="C5E0D1"/>
        <w:spacing w:after="100" w:afterAutospacing="1" w:line="315" w:lineRule="atLeast"/>
        <w:textAlignment w:val="baseline"/>
        <w:rPr>
          <w:rFonts w:eastAsia="Times New Roman" w:cs="Tahoma"/>
          <w:color w:val="535353"/>
          <w:sz w:val="21"/>
          <w:szCs w:val="21"/>
          <w:lang w:eastAsia="ru-RU"/>
        </w:rPr>
      </w:pPr>
    </w:p>
    <w:p w:rsidR="009B352A" w:rsidRDefault="009B352A" w:rsidP="00AC3EDF">
      <w:pPr>
        <w:shd w:val="clear" w:color="auto" w:fill="C5E0D1"/>
        <w:spacing w:after="100" w:afterAutospacing="1" w:line="315" w:lineRule="atLeast"/>
        <w:textAlignment w:val="baseline"/>
        <w:rPr>
          <w:rFonts w:eastAsia="Times New Roman" w:cs="Tahoma"/>
          <w:color w:val="535353"/>
          <w:sz w:val="21"/>
          <w:szCs w:val="21"/>
          <w:lang w:eastAsia="ru-RU"/>
        </w:rPr>
      </w:pPr>
    </w:p>
    <w:p w:rsidR="009B352A" w:rsidRDefault="009B352A" w:rsidP="00AC3EDF">
      <w:pPr>
        <w:shd w:val="clear" w:color="auto" w:fill="C5E0D1"/>
        <w:spacing w:after="100" w:afterAutospacing="1" w:line="315" w:lineRule="atLeast"/>
        <w:textAlignment w:val="baseline"/>
        <w:rPr>
          <w:rFonts w:eastAsia="Times New Roman" w:cs="Tahoma"/>
          <w:color w:val="535353"/>
          <w:sz w:val="21"/>
          <w:szCs w:val="21"/>
          <w:lang w:eastAsia="ru-RU"/>
        </w:rPr>
      </w:pPr>
    </w:p>
    <w:p w:rsidR="008D49CD" w:rsidRDefault="008D49CD"/>
    <w:sectPr w:rsidR="008D49CD" w:rsidSect="00AC3EDF">
      <w:pgSz w:w="11906" w:h="16838"/>
      <w:pgMar w:top="567" w:right="709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2415"/>
    <w:multiLevelType w:val="multilevel"/>
    <w:tmpl w:val="D6D08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983625"/>
    <w:multiLevelType w:val="multilevel"/>
    <w:tmpl w:val="E872EE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D25105"/>
    <w:multiLevelType w:val="multilevel"/>
    <w:tmpl w:val="EECCA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3EDF"/>
    <w:rsid w:val="00250B99"/>
    <w:rsid w:val="008D49CD"/>
    <w:rsid w:val="009B352A"/>
    <w:rsid w:val="00AC3EDF"/>
    <w:rsid w:val="00AC77BF"/>
    <w:rsid w:val="00D64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CD"/>
  </w:style>
  <w:style w:type="paragraph" w:styleId="1">
    <w:name w:val="heading 1"/>
    <w:basedOn w:val="a"/>
    <w:link w:val="10"/>
    <w:uiPriority w:val="9"/>
    <w:qFormat/>
    <w:rsid w:val="00AC3E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E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C3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EDF"/>
    <w:rPr>
      <w:color w:val="0000FF"/>
      <w:u w:val="single"/>
    </w:rPr>
  </w:style>
  <w:style w:type="character" w:styleId="a5">
    <w:name w:val="Strong"/>
    <w:basedOn w:val="a0"/>
    <w:uiPriority w:val="22"/>
    <w:qFormat/>
    <w:rsid w:val="00AC3EDF"/>
    <w:rPr>
      <w:b/>
      <w:bCs/>
    </w:rPr>
  </w:style>
  <w:style w:type="character" w:customStyle="1" w:styleId="apple-converted-space">
    <w:name w:val="apple-converted-space"/>
    <w:basedOn w:val="a0"/>
    <w:rsid w:val="00AC3EDF"/>
  </w:style>
  <w:style w:type="paragraph" w:styleId="a6">
    <w:name w:val="Balloon Text"/>
    <w:basedOn w:val="a"/>
    <w:link w:val="a7"/>
    <w:uiPriority w:val="99"/>
    <w:semiHidden/>
    <w:unhideWhenUsed/>
    <w:rsid w:val="00AC3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3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gl.net.ru/files/infosafety/fz_436-2.pdf" TargetMode="External"/><Relationship Id="rId18" Type="http://schemas.openxmlformats.org/officeDocument/2006/relationships/hyperlink" Target="http://www.tgl.net.ru/files/infosafety/rek_fz_436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net.ru/wp-content/uploads/2015/03/bd101.png" TargetMode="External"/><Relationship Id="rId12" Type="http://schemas.openxmlformats.org/officeDocument/2006/relationships/hyperlink" Target="http://www.tgl.net.ru/files/bezopasno/bez_met2015.pdf" TargetMode="External"/><Relationship Id="rId17" Type="http://schemas.openxmlformats.org/officeDocument/2006/relationships/hyperlink" Target="http://www.tgl.net.ru/files/infosafety/pismo_16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gl.net.ru/files/infosafety/pismo_115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tgl.net.ru/files/bezopasno/139_fz.pdf" TargetMode="External"/><Relationship Id="rId5" Type="http://schemas.openxmlformats.org/officeDocument/2006/relationships/hyperlink" Target="http://www.tgl.net.ru/wp-content/uploads/2015/03/bd1.png" TargetMode="External"/><Relationship Id="rId15" Type="http://schemas.openxmlformats.org/officeDocument/2006/relationships/hyperlink" Target="http://www.tgl.net.ru/files/infosafety/pismo_52-165.pdf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gl.net.ru/wp-content/uploads/2015/03/bd11.png" TargetMode="External"/><Relationship Id="rId14" Type="http://schemas.openxmlformats.org/officeDocument/2006/relationships/hyperlink" Target="http://www.tgl.net.ru/files/infosafety/436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3643</Characters>
  <Application>Microsoft Office Word</Application>
  <DocSecurity>0</DocSecurity>
  <Lines>30</Lines>
  <Paragraphs>8</Paragraphs>
  <ScaleCrop>false</ScaleCrop>
  <Company>Microsoft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SamLab.ws</cp:lastModifiedBy>
  <cp:revision>2</cp:revision>
  <dcterms:created xsi:type="dcterms:W3CDTF">2017-02-13T02:49:00Z</dcterms:created>
  <dcterms:modified xsi:type="dcterms:W3CDTF">2017-02-13T02:49:00Z</dcterms:modified>
</cp:coreProperties>
</file>